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D24" w:rsidRDefault="00B27D24" w:rsidP="00B27D24">
      <w:pPr>
        <w:pStyle w:val="1"/>
        <w:spacing w:before="36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 xml:space="preserve">3 ПРОЕКТИРОВАНИЕ ФУНДАМЕНТОВ </w:t>
      </w:r>
      <w:proofErr w:type="gramStart"/>
      <w:r>
        <w:rPr>
          <w:rFonts w:ascii="Times New Roman" w:hAnsi="Times New Roman"/>
          <w:b w:val="0"/>
        </w:rPr>
        <w:t>НА</w:t>
      </w:r>
      <w:proofErr w:type="gramEnd"/>
      <w:r>
        <w:rPr>
          <w:rFonts w:ascii="Times New Roman" w:hAnsi="Times New Roman"/>
          <w:b w:val="0"/>
        </w:rPr>
        <w:t xml:space="preserve"> </w:t>
      </w:r>
    </w:p>
    <w:p w:rsidR="00B27D24" w:rsidRDefault="00B27D24" w:rsidP="00B27D24">
      <w:pPr>
        <w:pStyle w:val="1"/>
        <w:spacing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 xml:space="preserve">ЕСТЕСТВЕННОМ </w:t>
      </w:r>
      <w:proofErr w:type="gramStart"/>
      <w:r>
        <w:rPr>
          <w:rFonts w:ascii="Times New Roman" w:hAnsi="Times New Roman"/>
          <w:b w:val="0"/>
        </w:rPr>
        <w:t>ОСНОВАНИИ</w:t>
      </w:r>
      <w:proofErr w:type="gramEnd"/>
    </w:p>
    <w:p w:rsidR="00B27D24" w:rsidRDefault="00B27D24" w:rsidP="00B27D24">
      <w:pPr>
        <w:spacing w:before="240"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3.1 Определение глубины заложения подошвы фундаментов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В реальном проектировании оптимальную глубину заложения подо</w:t>
      </w:r>
      <w:r>
        <w:rPr>
          <w:b w:val="0"/>
        </w:rPr>
        <w:t>ш</w:t>
      </w:r>
      <w:r>
        <w:rPr>
          <w:b w:val="0"/>
        </w:rPr>
        <w:t>вы фундаментов определяют на основе технико-экономического сравнения различных вариантов.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В курсовой работе глубина заложения подошвы фундаментов назн</w:t>
      </w:r>
      <w:r>
        <w:rPr>
          <w:b w:val="0"/>
        </w:rPr>
        <w:t>а</w:t>
      </w:r>
      <w:r>
        <w:rPr>
          <w:b w:val="0"/>
        </w:rPr>
        <w:t>чается на основе анализа геологических и гидрогеологических условий, конструктивных особенностей здания (наличие или отсутствие подв</w:t>
      </w:r>
      <w:r>
        <w:rPr>
          <w:b w:val="0"/>
        </w:rPr>
        <w:t>а</w:t>
      </w:r>
      <w:r>
        <w:rPr>
          <w:b w:val="0"/>
        </w:rPr>
        <w:t xml:space="preserve">ла), а также с учетом </w:t>
      </w:r>
      <w:proofErr w:type="gramStart"/>
      <w:r>
        <w:rPr>
          <w:b w:val="0"/>
        </w:rPr>
        <w:t>условий недопущения возникновения сил морозного пуч</w:t>
      </w:r>
      <w:r>
        <w:rPr>
          <w:b w:val="0"/>
        </w:rPr>
        <w:t>е</w:t>
      </w:r>
      <w:r>
        <w:rPr>
          <w:b w:val="0"/>
        </w:rPr>
        <w:t>ния грунтов</w:t>
      </w:r>
      <w:proofErr w:type="gramEnd"/>
      <w:r>
        <w:rPr>
          <w:b w:val="0"/>
        </w:rPr>
        <w:t xml:space="preserve"> под подошвой фундаментов, если фундаменты проект</w:t>
      </w:r>
      <w:r>
        <w:rPr>
          <w:b w:val="0"/>
        </w:rPr>
        <w:t>и</w:t>
      </w:r>
      <w:r>
        <w:rPr>
          <w:b w:val="0"/>
        </w:rPr>
        <w:t xml:space="preserve">руются на </w:t>
      </w:r>
      <w:proofErr w:type="spellStart"/>
      <w:r>
        <w:rPr>
          <w:b w:val="0"/>
        </w:rPr>
        <w:t>пучинистых</w:t>
      </w:r>
      <w:proofErr w:type="spellEnd"/>
      <w:r>
        <w:rPr>
          <w:b w:val="0"/>
        </w:rPr>
        <w:t xml:space="preserve"> грунтах.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При выполнении курсовой работы целесообразна следующая последовательность выбора глубины заложения подошвы фундаме</w:t>
      </w:r>
      <w:r>
        <w:rPr>
          <w:b w:val="0"/>
        </w:rPr>
        <w:t>н</w:t>
      </w:r>
      <w:r>
        <w:rPr>
          <w:b w:val="0"/>
        </w:rPr>
        <w:t xml:space="preserve">та - </w:t>
      </w:r>
      <w:r>
        <w:rPr>
          <w:b w:val="0"/>
          <w:i/>
        </w:rPr>
        <w:t>d</w:t>
      </w:r>
      <w:r>
        <w:rPr>
          <w:b w:val="0"/>
        </w:rPr>
        <w:t>:</w:t>
      </w:r>
    </w:p>
    <w:p w:rsidR="00B27D24" w:rsidRDefault="00B27D24" w:rsidP="00B27D24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>3.1.1</w:t>
      </w:r>
      <w:proofErr w:type="gramStart"/>
      <w:r>
        <w:rPr>
          <w:b w:val="0"/>
        </w:rPr>
        <w:t xml:space="preserve"> С</w:t>
      </w:r>
      <w:proofErr w:type="gramEnd"/>
      <w:r>
        <w:rPr>
          <w:b w:val="0"/>
        </w:rPr>
        <w:t xml:space="preserve"> учетом расчетной глубины промерзания грунта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f</w:t>
      </w:r>
      <w:proofErr w:type="spellEnd"/>
      <w:r>
        <w:rPr>
          <w:b w:val="0"/>
        </w:rPr>
        <w:t xml:space="preserve"> и таблицы 3.1</w:t>
      </w:r>
      <w:r w:rsidRPr="00303ABB">
        <w:rPr>
          <w:b w:val="0"/>
        </w:rPr>
        <w:t xml:space="preserve"> </w:t>
      </w:r>
      <w:r>
        <w:rPr>
          <w:b w:val="0"/>
        </w:rPr>
        <w:t>решается вопрос, зависит ли глубина заложения фундаментов под наружные стены от глубины промерзания грунта (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ω</w:t>
      </w:r>
      <w:proofErr w:type="spellEnd"/>
      <w:r>
        <w:rPr>
          <w:b w:val="0"/>
        </w:rPr>
        <w:t xml:space="preserve"> - глубина располож</w:t>
      </w:r>
      <w:r>
        <w:rPr>
          <w:b w:val="0"/>
        </w:rPr>
        <w:t>е</w:t>
      </w:r>
      <w:r>
        <w:rPr>
          <w:b w:val="0"/>
        </w:rPr>
        <w:t>ния уровня подземных вод задана в приложении Д). Эта глубина залож</w:t>
      </w:r>
      <w:r>
        <w:rPr>
          <w:b w:val="0"/>
        </w:rPr>
        <w:t>е</w:t>
      </w:r>
      <w:r>
        <w:rPr>
          <w:b w:val="0"/>
        </w:rPr>
        <w:t>ния подошвы фундамента для данного района строительства является м</w:t>
      </w:r>
      <w:r>
        <w:rPr>
          <w:b w:val="0"/>
        </w:rPr>
        <w:t>и</w:t>
      </w:r>
      <w:r>
        <w:rPr>
          <w:b w:val="0"/>
        </w:rPr>
        <w:t xml:space="preserve">нимально возможной -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min</w:t>
      </w:r>
      <w:proofErr w:type="spellEnd"/>
      <w:r>
        <w:rPr>
          <w:b w:val="0"/>
        </w:rPr>
        <w:t xml:space="preserve">. Для внутренних фундаментов </w:t>
      </w:r>
      <w:proofErr w:type="spellStart"/>
      <w:r>
        <w:rPr>
          <w:b w:val="0"/>
        </w:rPr>
        <w:t>безподвальных</w:t>
      </w:r>
      <w:proofErr w:type="spellEnd"/>
      <w:r>
        <w:rPr>
          <w:b w:val="0"/>
        </w:rPr>
        <w:t xml:space="preserve"> отапливаемых зданий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min</w:t>
      </w:r>
      <w:proofErr w:type="spellEnd"/>
      <w:r>
        <w:rPr>
          <w:b w:val="0"/>
        </w:rPr>
        <w:t xml:space="preserve"> можно принять равной </w:t>
      </w:r>
      <w:smartTag w:uri="urn:schemas-microsoft-com:office:smarttags" w:element="metricconverter">
        <w:smartTagPr>
          <w:attr w:name="ProductID" w:val="0,5 м"/>
        </w:smartTagPr>
        <w:r>
          <w:rPr>
            <w:b w:val="0"/>
          </w:rPr>
          <w:t>0,5 м</w:t>
        </w:r>
      </w:smartTag>
      <w:r>
        <w:rPr>
          <w:b w:val="0"/>
        </w:rPr>
        <w:t>.</w:t>
      </w:r>
    </w:p>
    <w:p w:rsidR="00B27D24" w:rsidRDefault="00B27D24" w:rsidP="00B27D24">
      <w:pPr>
        <w:pStyle w:val="3"/>
        <w:spacing w:before="240" w:after="120" w:line="240" w:lineRule="auto"/>
        <w:ind w:left="1701" w:hanging="1701"/>
        <w:jc w:val="both"/>
        <w:rPr>
          <w:b w:val="0"/>
          <w:i/>
        </w:rPr>
      </w:pPr>
      <w:r>
        <w:rPr>
          <w:b w:val="0"/>
        </w:rPr>
        <w:t>Таблица 3.1 - Глубина заложения фундаментов в зависимости от расчетной глубины промерзания грунта и глубины расположения по</w:t>
      </w:r>
      <w:r>
        <w:rPr>
          <w:b w:val="0"/>
        </w:rPr>
        <w:t>д</w:t>
      </w:r>
      <w:r>
        <w:rPr>
          <w:b w:val="0"/>
        </w:rPr>
        <w:t>земных вод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2338"/>
        <w:gridCol w:w="2339"/>
      </w:tblGrid>
      <w:tr w:rsidR="00B27D24" w:rsidTr="00630B0B">
        <w:tblPrEx>
          <w:tblCellMar>
            <w:top w:w="0" w:type="dxa"/>
            <w:bottom w:w="0" w:type="dxa"/>
          </w:tblCellMar>
        </w:tblPrEx>
        <w:trPr>
          <w:cantSplit/>
          <w:trHeight w:val="928"/>
        </w:trPr>
        <w:tc>
          <w:tcPr>
            <w:tcW w:w="4395" w:type="dxa"/>
            <w:vMerge w:val="restart"/>
            <w:vAlign w:val="center"/>
          </w:tcPr>
          <w:p w:rsidR="00B27D24" w:rsidRDefault="00B27D24" w:rsidP="00630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Грунты </w:t>
            </w:r>
          </w:p>
          <w:p w:rsidR="00B27D24" w:rsidRDefault="00B27D24" w:rsidP="00630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 подошвой фундамента</w:t>
            </w:r>
          </w:p>
        </w:tc>
        <w:tc>
          <w:tcPr>
            <w:tcW w:w="4677" w:type="dxa"/>
            <w:gridSpan w:val="2"/>
            <w:vAlign w:val="center"/>
          </w:tcPr>
          <w:p w:rsidR="00B27D24" w:rsidRDefault="00B27D24" w:rsidP="00630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Глубина заложения фундаментов в зав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симости от глубины расположения уровня подземных вод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ω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м, </w:t>
            </w:r>
            <w:proofErr w:type="gramStart"/>
            <w:r>
              <w:rPr>
                <w:rFonts w:ascii="Times New Roman" w:hAnsi="Times New Roman"/>
                <w:sz w:val="24"/>
              </w:rPr>
              <w:t>при</w:t>
            </w:r>
            <w:proofErr w:type="gramEnd"/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4395" w:type="dxa"/>
            <w:vMerge/>
          </w:tcPr>
          <w:p w:rsidR="00B27D24" w:rsidRDefault="00B27D24" w:rsidP="00630B0B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338" w:type="dxa"/>
            <w:vAlign w:val="center"/>
          </w:tcPr>
          <w:p w:rsidR="00B27D24" w:rsidRDefault="00B27D24" w:rsidP="00630B0B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ω</w:t>
            </w:r>
            <w:proofErr w:type="spellEnd"/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sym w:font="Symbol" w:char="F0A3"/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  <w:r>
              <w:rPr>
                <w:rFonts w:ascii="Times New Roman" w:hAnsi="Times New Roman"/>
                <w:i/>
                <w:sz w:val="24"/>
                <w:lang w:val="en-US"/>
              </w:rPr>
              <w:t xml:space="preserve"> + </w:t>
            </w: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  <w:tc>
          <w:tcPr>
            <w:tcW w:w="2339" w:type="dxa"/>
            <w:vAlign w:val="center"/>
          </w:tcPr>
          <w:p w:rsidR="00B27D24" w:rsidRDefault="00B27D24" w:rsidP="00630B0B">
            <w:pPr>
              <w:spacing w:line="252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ω</w:t>
            </w:r>
            <w:proofErr w:type="spellEnd"/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 xml:space="preserve">&gt;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  <w:r>
              <w:rPr>
                <w:rFonts w:ascii="Times New Roman" w:hAnsi="Times New Roman"/>
                <w:i/>
                <w:sz w:val="24"/>
                <w:lang w:val="en-US"/>
              </w:rPr>
              <w:t xml:space="preserve"> + </w:t>
            </w: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B27D24" w:rsidRDefault="00B27D24" w:rsidP="00630B0B">
            <w:pPr>
              <w:spacing w:before="60" w:after="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Скальные, крупнообломочные с песч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ным заполнителем, пески гравелистые, крупные и средней крупности  </w:t>
            </w:r>
          </w:p>
        </w:tc>
        <w:tc>
          <w:tcPr>
            <w:tcW w:w="2338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зависит от 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</w:p>
        </w:tc>
        <w:tc>
          <w:tcPr>
            <w:tcW w:w="2339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зависит от 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B27D24" w:rsidRDefault="00B27D24" w:rsidP="00630B0B">
            <w:pPr>
              <w:spacing w:before="60" w:after="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Пески мелкие и пылеватые</w:t>
            </w:r>
          </w:p>
        </w:tc>
        <w:tc>
          <w:tcPr>
            <w:tcW w:w="2338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менее 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</w:p>
        </w:tc>
        <w:tc>
          <w:tcPr>
            <w:tcW w:w="2339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395" w:type="dxa"/>
          </w:tcPr>
          <w:p w:rsidR="00B27D24" w:rsidRDefault="00B27D24" w:rsidP="00630B0B">
            <w:pPr>
              <w:spacing w:before="60" w:after="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Супеси с показателем текучести</w:t>
            </w:r>
            <w:r w:rsidRPr="00303ABB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I</w:t>
            </w:r>
            <w:r>
              <w:rPr>
                <w:i/>
                <w:sz w:val="24"/>
                <w:vertAlign w:val="subscript"/>
                <w:lang w:val="en-US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&lt; 0</w:t>
            </w:r>
          </w:p>
        </w:tc>
        <w:tc>
          <w:tcPr>
            <w:tcW w:w="2338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  <w:tc>
          <w:tcPr>
            <w:tcW w:w="2339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B27D24" w:rsidRDefault="00B27D24" w:rsidP="00630B0B">
            <w:pPr>
              <w:spacing w:before="60" w:after="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То же, при  </w:t>
            </w:r>
            <w:r>
              <w:rPr>
                <w:rFonts w:ascii="Times New Roman" w:hAnsi="Times New Roman"/>
                <w:i/>
                <w:sz w:val="24"/>
              </w:rPr>
              <w:t>I</w:t>
            </w:r>
            <w:r>
              <w:rPr>
                <w:i/>
                <w:sz w:val="24"/>
                <w:vertAlign w:val="subscript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position w:val="-4"/>
                <w:sz w:val="28"/>
              </w:rPr>
              <w:object w:dxaOrig="200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pt;height:12.15pt" o:ole="" fillcolor="window">
                  <v:imagedata r:id="rId5" o:title=""/>
                </v:shape>
                <o:OLEObject Type="Embed" ProgID="Equation.3" ShapeID="_x0000_i1025" DrawAspect="Content" ObjectID="_1645945681" r:id="rId6"/>
              </w:object>
            </w:r>
            <w:r>
              <w:rPr>
                <w:rFonts w:ascii="Times New Roman" w:hAnsi="Times New Roman"/>
                <w:sz w:val="24"/>
              </w:rPr>
              <w:t xml:space="preserve"> 0</w:t>
            </w:r>
          </w:p>
        </w:tc>
        <w:tc>
          <w:tcPr>
            <w:tcW w:w="2338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  <w:tc>
          <w:tcPr>
            <w:tcW w:w="2339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 менее  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B27D24" w:rsidRDefault="00B27D24" w:rsidP="00630B0B">
            <w:pPr>
              <w:spacing w:before="60" w:after="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Суглинки, глины, а также крупнообл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 xml:space="preserve">мочные грунты с пылевато-глинистым заполнителем при показателе текучести грунта или заполнителя 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I</w:t>
            </w:r>
            <w:r>
              <w:rPr>
                <w:i/>
                <w:sz w:val="24"/>
                <w:vertAlign w:val="subscript"/>
                <w:lang w:val="en-US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position w:val="-4"/>
                <w:sz w:val="28"/>
              </w:rPr>
              <w:object w:dxaOrig="200" w:dyaOrig="240">
                <v:shape id="_x0000_i1026" type="#_x0000_t75" style="width:9.7pt;height:12.15pt" o:ole="" fillcolor="window">
                  <v:imagedata r:id="rId5" o:title=""/>
                </v:shape>
                <o:OLEObject Type="Embed" ProgID="Equation.3" ShapeID="_x0000_i1026" DrawAspect="Content" ObjectID="_1645945682" r:id="rId7"/>
              </w:object>
            </w:r>
            <w:r>
              <w:rPr>
                <w:rFonts w:ascii="Times New Roman" w:hAnsi="Times New Roman"/>
                <w:sz w:val="24"/>
              </w:rPr>
              <w:t xml:space="preserve"> 0,25  </w:t>
            </w:r>
          </w:p>
        </w:tc>
        <w:tc>
          <w:tcPr>
            <w:tcW w:w="2338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  <w:tc>
          <w:tcPr>
            <w:tcW w:w="2339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c>
          <w:tcPr>
            <w:tcW w:w="4395" w:type="dxa"/>
          </w:tcPr>
          <w:p w:rsidR="00B27D24" w:rsidRDefault="00B27D24" w:rsidP="00630B0B">
            <w:pPr>
              <w:spacing w:before="60" w:after="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То же, при  </w:t>
            </w:r>
            <w:r>
              <w:rPr>
                <w:rFonts w:ascii="Times New Roman" w:hAnsi="Times New Roman"/>
                <w:i/>
                <w:sz w:val="24"/>
                <w:lang w:val="en-US"/>
              </w:rPr>
              <w:t>I</w:t>
            </w:r>
            <w:r>
              <w:rPr>
                <w:i/>
                <w:sz w:val="24"/>
                <w:vertAlign w:val="subscript"/>
                <w:lang w:val="en-US"/>
              </w:rPr>
              <w:t>L</w:t>
            </w:r>
            <w:r>
              <w:rPr>
                <w:rFonts w:ascii="Times New Roman" w:hAnsi="Times New Roman"/>
                <w:sz w:val="24"/>
              </w:rPr>
              <w:t xml:space="preserve"> &lt; 0,25</w:t>
            </w:r>
          </w:p>
        </w:tc>
        <w:tc>
          <w:tcPr>
            <w:tcW w:w="2338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 же</w:t>
            </w:r>
          </w:p>
        </w:tc>
        <w:tc>
          <w:tcPr>
            <w:tcW w:w="2339" w:type="dxa"/>
          </w:tcPr>
          <w:p w:rsidR="00B27D24" w:rsidRDefault="00B27D24" w:rsidP="00630B0B">
            <w:pPr>
              <w:spacing w:before="60" w:after="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менее  0,5</w:t>
            </w:r>
            <w:proofErr w:type="spellStart"/>
            <w:r>
              <w:rPr>
                <w:rFonts w:ascii="Times New Roman" w:hAnsi="Times New Roman"/>
                <w:i/>
                <w:sz w:val="24"/>
                <w:lang w:val="en-US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f</w:t>
            </w:r>
            <w:proofErr w:type="spellEnd"/>
          </w:p>
        </w:tc>
      </w:tr>
      <w:tr w:rsidR="00B27D24" w:rsidTr="00630B0B">
        <w:tblPrEx>
          <w:tblCellMar>
            <w:top w:w="0" w:type="dxa"/>
            <w:bottom w:w="0" w:type="dxa"/>
          </w:tblCellMar>
        </w:tblPrEx>
        <w:trPr>
          <w:cantSplit/>
          <w:trHeight w:val="993"/>
        </w:trPr>
        <w:tc>
          <w:tcPr>
            <w:tcW w:w="9072" w:type="dxa"/>
            <w:gridSpan w:val="3"/>
            <w:tcBorders>
              <w:bottom w:val="single" w:sz="4" w:space="0" w:color="auto"/>
            </w:tcBorders>
            <w:vAlign w:val="center"/>
          </w:tcPr>
          <w:p w:rsidR="00B27D24" w:rsidRDefault="00B27D24" w:rsidP="00630B0B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Примечание: В случаях, когда глубина заложения фундаментов не зависит от расче</w:t>
            </w:r>
            <w:r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 xml:space="preserve">ной глубины промерзания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</w:rPr>
              <w:t>f</w:t>
            </w:r>
            <w:proofErr w:type="spellEnd"/>
            <w:r>
              <w:rPr>
                <w:rFonts w:ascii="Times New Roman" w:hAnsi="Times New Roman"/>
                <w:sz w:val="24"/>
              </w:rPr>
              <w:t>, соответствующие грунты, указанные в настоящей та</w:t>
            </w:r>
            <w:r>
              <w:rPr>
                <w:rFonts w:ascii="Times New Roman" w:hAnsi="Times New Roman"/>
                <w:sz w:val="24"/>
              </w:rPr>
              <w:t>б</w:t>
            </w:r>
            <w:r>
              <w:rPr>
                <w:rFonts w:ascii="Times New Roman" w:hAnsi="Times New Roman"/>
                <w:sz w:val="24"/>
              </w:rPr>
              <w:t xml:space="preserve">лице, должны залегать до глубины не </w:t>
            </w:r>
            <w:proofErr w:type="gramStart"/>
            <w:r>
              <w:rPr>
                <w:rFonts w:ascii="Times New Roman" w:hAnsi="Times New Roman"/>
                <w:sz w:val="24"/>
              </w:rPr>
              <w:t>менее нормативной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глубины промерзания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d</w:t>
            </w:r>
            <w:r>
              <w:rPr>
                <w:rFonts w:ascii="Times New Roman" w:hAnsi="Times New Roman"/>
                <w:i/>
                <w:sz w:val="24"/>
                <w:vertAlign w:val="subscript"/>
              </w:rPr>
              <w:t>fn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</w:tr>
    </w:tbl>
    <w:p w:rsidR="00B27D24" w:rsidRDefault="00B27D24" w:rsidP="00B27D24">
      <w:pPr>
        <w:pStyle w:val="2"/>
        <w:spacing w:before="200" w:line="240" w:lineRule="auto"/>
        <w:ind w:firstLine="567"/>
        <w:jc w:val="both"/>
        <w:rPr>
          <w:b w:val="0"/>
        </w:rPr>
      </w:pPr>
      <w:r>
        <w:rPr>
          <w:b w:val="0"/>
        </w:rPr>
        <w:t>3.1.2</w:t>
      </w:r>
      <w:proofErr w:type="gramStart"/>
      <w:r>
        <w:rPr>
          <w:b w:val="0"/>
        </w:rPr>
        <w:t xml:space="preserve"> П</w:t>
      </w:r>
      <w:proofErr w:type="gramEnd"/>
      <w:r>
        <w:rPr>
          <w:b w:val="0"/>
        </w:rPr>
        <w:t xml:space="preserve">о конструктивным соображениям для зданий с подвалом обрез фундаментных плит располагается </w:t>
      </w:r>
      <w:smartTag w:uri="urn:schemas-microsoft-com:office:smarttags" w:element="metricconverter">
        <w:smartTagPr>
          <w:attr w:name="ProductID" w:val="0,2 м"/>
        </w:smartTagPr>
        <w:r>
          <w:rPr>
            <w:b w:val="0"/>
          </w:rPr>
          <w:t>0,2 м</w:t>
        </w:r>
      </w:smartTag>
      <w:r>
        <w:rPr>
          <w:b w:val="0"/>
        </w:rPr>
        <w:t xml:space="preserve"> ниже пола подвала (отметка пола подвала задана на схеме здания, приложение А). Таким образом, при и</w:t>
      </w:r>
      <w:r>
        <w:rPr>
          <w:b w:val="0"/>
        </w:rPr>
        <w:t>с</w:t>
      </w:r>
      <w:r>
        <w:rPr>
          <w:b w:val="0"/>
        </w:rPr>
        <w:t xml:space="preserve">пользовании сборных железобетонных подушек высотой </w:t>
      </w:r>
      <w:smartTag w:uri="urn:schemas-microsoft-com:office:smarttags" w:element="metricconverter">
        <w:smartTagPr>
          <w:attr w:name="ProductID" w:val="0,3 м"/>
        </w:smartTagPr>
        <w:r>
          <w:rPr>
            <w:b w:val="0"/>
          </w:rPr>
          <w:t>0,3 м</w:t>
        </w:r>
      </w:smartTag>
      <w:r>
        <w:rPr>
          <w:b w:val="0"/>
        </w:rPr>
        <w:t xml:space="preserve"> (принять в первом приближении) минимальная глубина заложения фундаментов по конструктивным соображениям для подвальной части здания сост</w:t>
      </w:r>
      <w:r>
        <w:rPr>
          <w:b w:val="0"/>
        </w:rPr>
        <w:t>а</w:t>
      </w:r>
      <w:r>
        <w:rPr>
          <w:b w:val="0"/>
        </w:rPr>
        <w:t>вит:</w:t>
      </w:r>
    </w:p>
    <w:p w:rsidR="00B27D24" w:rsidRDefault="00B27D24" w:rsidP="00B27D24">
      <w:pPr>
        <w:pStyle w:val="2"/>
        <w:spacing w:before="80" w:after="80" w:line="240" w:lineRule="auto"/>
        <w:jc w:val="right"/>
        <w:rPr>
          <w:b w:val="0"/>
        </w:rPr>
      </w:pPr>
      <w:r>
        <w:rPr>
          <w:b w:val="0"/>
          <w:i/>
        </w:rPr>
        <w:t>d</w:t>
      </w:r>
      <w:r>
        <w:rPr>
          <w:b w:val="0"/>
          <w:i/>
          <w:vertAlign w:val="superscript"/>
        </w:rPr>
        <w:t xml:space="preserve"> </w:t>
      </w:r>
      <w:proofErr w:type="spellStart"/>
      <w:proofErr w:type="gramStart"/>
      <w:r>
        <w:rPr>
          <w:b w:val="0"/>
          <w:i/>
          <w:vertAlign w:val="superscript"/>
        </w:rPr>
        <w:t>к</w:t>
      </w:r>
      <w:proofErr w:type="gramEnd"/>
      <w:r>
        <w:rPr>
          <w:b w:val="0"/>
          <w:i/>
          <w:vertAlign w:val="subscript"/>
        </w:rPr>
        <w:t>min</w:t>
      </w:r>
      <w:proofErr w:type="spellEnd"/>
      <w:r>
        <w:rPr>
          <w:b w:val="0"/>
          <w:i/>
        </w:rPr>
        <w:t xml:space="preserve"> =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b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+ </w:t>
      </w:r>
      <w:r>
        <w:rPr>
          <w:b w:val="0"/>
        </w:rPr>
        <w:t xml:space="preserve">0,2 </w:t>
      </w:r>
      <w:r>
        <w:rPr>
          <w:b w:val="0"/>
          <w:i/>
        </w:rPr>
        <w:t xml:space="preserve">+ </w:t>
      </w:r>
      <w:r>
        <w:rPr>
          <w:b w:val="0"/>
        </w:rPr>
        <w:t>0,3,                                           (10)</w:t>
      </w:r>
    </w:p>
    <w:p w:rsidR="00B27D24" w:rsidRDefault="00B27D24" w:rsidP="00B27D24">
      <w:pPr>
        <w:pStyle w:val="2"/>
        <w:spacing w:before="0" w:line="240" w:lineRule="auto"/>
        <w:jc w:val="both"/>
        <w:rPr>
          <w:b w:val="0"/>
        </w:rPr>
      </w:pPr>
      <w:r>
        <w:rPr>
          <w:b w:val="0"/>
        </w:rPr>
        <w:t xml:space="preserve">где </w:t>
      </w:r>
      <w:proofErr w:type="spellStart"/>
      <w:r>
        <w:rPr>
          <w:b w:val="0"/>
          <w:i/>
        </w:rPr>
        <w:t>d</w:t>
      </w:r>
      <w:r>
        <w:rPr>
          <w:b w:val="0"/>
          <w:i/>
          <w:vertAlign w:val="subscript"/>
        </w:rPr>
        <w:t>b</w:t>
      </w:r>
      <w:proofErr w:type="spellEnd"/>
      <w:r>
        <w:rPr>
          <w:b w:val="0"/>
        </w:rPr>
        <w:t xml:space="preserve"> </w:t>
      </w:r>
      <w:r w:rsidRPr="00303ABB">
        <w:rPr>
          <w:b w:val="0"/>
        </w:rPr>
        <w:t>-</w:t>
      </w:r>
      <w:r>
        <w:rPr>
          <w:b w:val="0"/>
        </w:rPr>
        <w:t xml:space="preserve"> глубина подвала от уровня планировки.</w:t>
      </w:r>
    </w:p>
    <w:p w:rsidR="00B27D24" w:rsidRDefault="00B27D24" w:rsidP="00B27D24">
      <w:pPr>
        <w:pStyle w:val="2"/>
        <w:spacing w:before="0" w:line="252" w:lineRule="auto"/>
        <w:ind w:firstLine="567"/>
        <w:jc w:val="both"/>
        <w:rPr>
          <w:b w:val="0"/>
        </w:rPr>
      </w:pPr>
      <w:r>
        <w:rPr>
          <w:b w:val="0"/>
        </w:rPr>
        <w:t>Для сборных фундаментов глубина их заложения дополнительно з</w:t>
      </w:r>
      <w:r>
        <w:rPr>
          <w:b w:val="0"/>
        </w:rPr>
        <w:t>а</w:t>
      </w:r>
      <w:r>
        <w:rPr>
          <w:b w:val="0"/>
        </w:rPr>
        <w:t xml:space="preserve">висит от принятой конструкции фундаментных подушек (высота подушек </w:t>
      </w:r>
      <w:proofErr w:type="spellStart"/>
      <w:r>
        <w:rPr>
          <w:b w:val="0"/>
          <w:i/>
          <w:lang w:val="en-US"/>
        </w:rPr>
        <w:t>h</w:t>
      </w:r>
      <w:r>
        <w:rPr>
          <w:b w:val="0"/>
          <w:i/>
          <w:vertAlign w:val="subscript"/>
          <w:lang w:val="en-US"/>
        </w:rPr>
        <w:t>f</w:t>
      </w:r>
      <w:proofErr w:type="spellEnd"/>
      <w:r w:rsidRPr="00303ABB">
        <w:rPr>
          <w:b w:val="0"/>
          <w:i/>
          <w:vertAlign w:val="subscript"/>
        </w:rPr>
        <w:t xml:space="preserve"> </w:t>
      </w:r>
      <w:r w:rsidRPr="00303ABB">
        <w:rPr>
          <w:b w:val="0"/>
          <w:i/>
        </w:rPr>
        <w:t xml:space="preserve">= </w:t>
      </w:r>
      <w:r w:rsidRPr="00303ABB">
        <w:rPr>
          <w:b w:val="0"/>
        </w:rPr>
        <w:t xml:space="preserve">0,3; </w:t>
      </w:r>
      <w:smartTag w:uri="urn:schemas-microsoft-com:office:smarttags" w:element="metricconverter">
        <w:smartTagPr>
          <w:attr w:name="ProductID" w:val="0,5 м"/>
        </w:smartTagPr>
        <w:r w:rsidRPr="00303ABB">
          <w:rPr>
            <w:b w:val="0"/>
          </w:rPr>
          <w:t>0,5 м</w:t>
        </w:r>
      </w:smartTag>
      <w:r w:rsidRPr="00303ABB">
        <w:rPr>
          <w:b w:val="0"/>
        </w:rPr>
        <w:t>)</w:t>
      </w:r>
      <w:r w:rsidRPr="00303ABB">
        <w:rPr>
          <w:b w:val="0"/>
          <w:i/>
        </w:rPr>
        <w:t xml:space="preserve"> </w:t>
      </w:r>
      <w:r>
        <w:rPr>
          <w:b w:val="0"/>
        </w:rPr>
        <w:t>и ст</w:t>
      </w:r>
      <w:r>
        <w:rPr>
          <w:b w:val="0"/>
        </w:rPr>
        <w:t>е</w:t>
      </w:r>
      <w:r>
        <w:rPr>
          <w:b w:val="0"/>
        </w:rPr>
        <w:t xml:space="preserve">новых блоков (высота блока с учетом шва равна </w:t>
      </w:r>
      <w:smartTag w:uri="urn:schemas-microsoft-com:office:smarttags" w:element="metricconverter">
        <w:smartTagPr>
          <w:attr w:name="ProductID" w:val="0,6 м"/>
        </w:smartTagPr>
        <w:r>
          <w:rPr>
            <w:b w:val="0"/>
          </w:rPr>
          <w:t>0,6 м</w:t>
        </w:r>
      </w:smartTag>
      <w:r>
        <w:rPr>
          <w:b w:val="0"/>
        </w:rPr>
        <w:t xml:space="preserve">). 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3.1.3</w:t>
      </w:r>
      <w:proofErr w:type="gramStart"/>
      <w:r>
        <w:rPr>
          <w:b w:val="0"/>
        </w:rPr>
        <w:t xml:space="preserve"> Е</w:t>
      </w:r>
      <w:proofErr w:type="gramEnd"/>
      <w:r>
        <w:rPr>
          <w:b w:val="0"/>
        </w:rPr>
        <w:t xml:space="preserve">сли на небольшой глубине (ориентировочно в пределах </w:t>
      </w:r>
      <w:r>
        <w:rPr>
          <w:b w:val="0"/>
          <w:i/>
        </w:rPr>
        <w:t>d</w:t>
      </w:r>
      <w:r>
        <w:rPr>
          <w:b w:val="0"/>
          <w:i/>
          <w:vertAlign w:val="subscript"/>
        </w:rPr>
        <w:t>min</w:t>
      </w:r>
      <w:r>
        <w:rPr>
          <w:b w:val="0"/>
          <w:i/>
        </w:rPr>
        <w:t>+</w:t>
      </w:r>
      <w:r>
        <w:rPr>
          <w:b w:val="0"/>
        </w:rPr>
        <w:t xml:space="preserve">1м  или  </w:t>
      </w:r>
      <w:r>
        <w:rPr>
          <w:b w:val="0"/>
          <w:i/>
        </w:rPr>
        <w:t>d</w:t>
      </w:r>
      <w:r>
        <w:rPr>
          <w:b w:val="0"/>
          <w:i/>
          <w:vertAlign w:val="superscript"/>
        </w:rPr>
        <w:t xml:space="preserve"> к</w:t>
      </w:r>
      <w:r>
        <w:rPr>
          <w:b w:val="0"/>
          <w:i/>
          <w:vertAlign w:val="subscript"/>
        </w:rPr>
        <w:t>min</w:t>
      </w:r>
      <w:r>
        <w:rPr>
          <w:b w:val="0"/>
          <w:i/>
        </w:rPr>
        <w:t>+</w:t>
      </w:r>
      <w:r>
        <w:rPr>
          <w:b w:val="0"/>
        </w:rPr>
        <w:t xml:space="preserve">1м, по большему значению) залегает более прочный слой грунта (по значению </w:t>
      </w:r>
      <w:r>
        <w:rPr>
          <w:b w:val="0"/>
          <w:i/>
          <w:lang w:val="en-US"/>
        </w:rPr>
        <w:t>R</w:t>
      </w:r>
      <w:r w:rsidRPr="00557348">
        <w:rPr>
          <w:b w:val="0"/>
          <w:i/>
          <w:vertAlign w:val="subscript"/>
        </w:rPr>
        <w:t>0</w:t>
      </w:r>
      <w:r>
        <w:rPr>
          <w:b w:val="0"/>
        </w:rPr>
        <w:t>), фундамент следует заглубить в этот слой.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В любом случае рекомендуется в выбранный несущий слой грунта фундамент заглубляется на </w:t>
      </w:r>
      <w:smartTag w:uri="urn:schemas-microsoft-com:office:smarttags" w:element="metricconverter">
        <w:smartTagPr>
          <w:attr w:name="ProductID" w:val="0,5 м"/>
        </w:smartTagPr>
        <w:r>
          <w:rPr>
            <w:b w:val="0"/>
          </w:rPr>
          <w:t>0,5 м</w:t>
        </w:r>
      </w:smartTag>
      <w:r>
        <w:rPr>
          <w:b w:val="0"/>
        </w:rPr>
        <w:t xml:space="preserve"> с учетом возможной погрешности в определении отметки кровли слоя, допущенной при инженерных изыск</w:t>
      </w:r>
      <w:r>
        <w:rPr>
          <w:b w:val="0"/>
        </w:rPr>
        <w:t>а</w:t>
      </w:r>
      <w:r>
        <w:rPr>
          <w:b w:val="0"/>
        </w:rPr>
        <w:t>ниях.</w:t>
      </w:r>
    </w:p>
    <w:p w:rsidR="00B27D24" w:rsidRPr="00303ABB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3.1.4 Фундаменты под внутренние стены, колонны и наружные стены здания можно закладывать на различной глубине,  но при этом допустимая разность отметок заложения соседних фундаментов - </w:t>
      </w:r>
      <w:r>
        <w:rPr>
          <w:b w:val="0"/>
          <w:i/>
        </w:rPr>
        <w:t>∆</w:t>
      </w:r>
      <w:r>
        <w:rPr>
          <w:b w:val="0"/>
          <w:i/>
          <w:lang w:val="en-US"/>
        </w:rPr>
        <w:t>h</w:t>
      </w:r>
      <w:r>
        <w:rPr>
          <w:b w:val="0"/>
        </w:rPr>
        <w:t xml:space="preserve"> должна назн</w:t>
      </w:r>
      <w:r>
        <w:rPr>
          <w:b w:val="0"/>
        </w:rPr>
        <w:t>а</w:t>
      </w:r>
      <w:r>
        <w:rPr>
          <w:b w:val="0"/>
        </w:rPr>
        <w:t>чаться в соответствии с рисунком 3.1 по формуле</w:t>
      </w:r>
      <w:r w:rsidRPr="00303ABB">
        <w:rPr>
          <w:b w:val="0"/>
        </w:rPr>
        <w:t>:</w:t>
      </w:r>
    </w:p>
    <w:p w:rsidR="00B27D24" w:rsidRDefault="00B27D24" w:rsidP="00B27D24">
      <w:pPr>
        <w:pStyle w:val="2"/>
        <w:spacing w:before="80" w:after="80" w:line="240" w:lineRule="auto"/>
        <w:jc w:val="right"/>
        <w:rPr>
          <w:b w:val="0"/>
        </w:rPr>
      </w:pPr>
      <w:r>
        <w:rPr>
          <w:b w:val="0"/>
          <w:i/>
        </w:rPr>
        <w:t>∆h</w:t>
      </w:r>
      <w:r>
        <w:rPr>
          <w:b w:val="0"/>
        </w:rPr>
        <w:t xml:space="preserve"> </w:t>
      </w:r>
      <w:r>
        <w:rPr>
          <w:b w:val="0"/>
        </w:rPr>
        <w:sym w:font="Symbol" w:char="F0A3"/>
      </w:r>
      <w:r>
        <w:rPr>
          <w:b w:val="0"/>
          <w:i/>
        </w:rPr>
        <w:t xml:space="preserve"> а (</w:t>
      </w:r>
      <w:proofErr w:type="spellStart"/>
      <w:r>
        <w:rPr>
          <w:b w:val="0"/>
          <w:i/>
        </w:rPr>
        <w:t>tg</w:t>
      </w:r>
      <w:proofErr w:type="spellEnd"/>
      <w:r>
        <w:rPr>
          <w:b w:val="0"/>
          <w:i/>
          <w:sz w:val="24"/>
        </w:rPr>
        <w:sym w:font="Symbol" w:char="F06A"/>
      </w:r>
      <w:r>
        <w:rPr>
          <w:b w:val="0"/>
          <w:vertAlign w:val="subscript"/>
        </w:rPr>
        <w:t>I</w:t>
      </w:r>
      <w:r>
        <w:rPr>
          <w:b w:val="0"/>
          <w:i/>
        </w:rPr>
        <w:t xml:space="preserve"> + </w:t>
      </w:r>
      <w:proofErr w:type="spellStart"/>
      <w:r>
        <w:rPr>
          <w:b w:val="0"/>
          <w:i/>
        </w:rPr>
        <w:t>c</w:t>
      </w:r>
      <w:r>
        <w:rPr>
          <w:b w:val="0"/>
          <w:vertAlign w:val="subscript"/>
        </w:rPr>
        <w:t>I</w:t>
      </w:r>
      <w:proofErr w:type="spellEnd"/>
      <w:r>
        <w:rPr>
          <w:b w:val="0"/>
          <w:vertAlign w:val="subscript"/>
        </w:rPr>
        <w:t xml:space="preserve"> </w:t>
      </w:r>
      <w:r>
        <w:rPr>
          <w:b w:val="0"/>
          <w:i/>
        </w:rPr>
        <w:t>/ p)</w:t>
      </w:r>
      <w:r>
        <w:rPr>
          <w:b w:val="0"/>
        </w:rPr>
        <w:t>,                                          (11)</w:t>
      </w:r>
    </w:p>
    <w:p w:rsidR="00B27D24" w:rsidRDefault="00B27D24" w:rsidP="00B27D24">
      <w:pPr>
        <w:pStyle w:val="2"/>
        <w:spacing w:before="0" w:line="240" w:lineRule="auto"/>
        <w:jc w:val="both"/>
        <w:rPr>
          <w:b w:val="0"/>
        </w:rPr>
      </w:pPr>
      <w:r>
        <w:rPr>
          <w:b w:val="0"/>
        </w:rPr>
        <w:t xml:space="preserve">где   </w:t>
      </w:r>
      <w:r>
        <w:rPr>
          <w:b w:val="0"/>
          <w:i/>
        </w:rPr>
        <w:t>a</w:t>
      </w:r>
      <w:r>
        <w:rPr>
          <w:b w:val="0"/>
        </w:rPr>
        <w:t xml:space="preserve"> - расстояние между фундаментами в свету; 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  <w:sz w:val="24"/>
        </w:rPr>
        <w:sym w:font="Symbol" w:char="F06A"/>
      </w:r>
      <w:r>
        <w:rPr>
          <w:b w:val="0"/>
          <w:vertAlign w:val="subscript"/>
        </w:rPr>
        <w:t>I</w:t>
      </w:r>
      <w:r>
        <w:rPr>
          <w:b w:val="0"/>
        </w:rPr>
        <w:t xml:space="preserve">, </w:t>
      </w:r>
      <w:proofErr w:type="spellStart"/>
      <w:r>
        <w:rPr>
          <w:b w:val="0"/>
          <w:i/>
        </w:rPr>
        <w:t>c</w:t>
      </w:r>
      <w:r>
        <w:rPr>
          <w:b w:val="0"/>
          <w:vertAlign w:val="subscript"/>
        </w:rPr>
        <w:t>I</w:t>
      </w:r>
      <w:proofErr w:type="spellEnd"/>
      <w:r>
        <w:rPr>
          <w:b w:val="0"/>
        </w:rPr>
        <w:t xml:space="preserve"> - расчетные значения соответственно угла внутреннего трения и удельного сцепления грунта, определяемые по подразделу 2.4; 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proofErr w:type="gramStart"/>
      <w:r>
        <w:rPr>
          <w:b w:val="0"/>
          <w:i/>
        </w:rPr>
        <w:t>р</w:t>
      </w:r>
      <w:proofErr w:type="gramEnd"/>
      <w:r>
        <w:rPr>
          <w:b w:val="0"/>
        </w:rPr>
        <w:t xml:space="preserve"> - среднее давление под подошвой вышерасположенного фундамента от расчетных нагрузок (в первом приближении </w:t>
      </w:r>
      <w:r>
        <w:rPr>
          <w:b w:val="0"/>
          <w:i/>
        </w:rPr>
        <w:t>р=</w:t>
      </w:r>
      <w:r>
        <w:rPr>
          <w:b w:val="0"/>
        </w:rPr>
        <w:t>0,2 МПа, с последующей корректировкой после определения размеров подошвы фундамента)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При заложении ленточных фундаментов смежных участков на разных отметках переход от одной отметки заложения фундамента к другой ос</w:t>
      </w:r>
      <w:r>
        <w:rPr>
          <w:b w:val="0"/>
        </w:rPr>
        <w:t>у</w:t>
      </w:r>
      <w:r>
        <w:rPr>
          <w:b w:val="0"/>
        </w:rPr>
        <w:t xml:space="preserve">ществляется уступами, в соответствии с рисунком 3.2. Отношение высоты уступа к его длине принимается не менее 1/2 для связанных грунтов и не менее 1/3 для песчаных грунтов. Высота уступа не более </w:t>
      </w:r>
      <w:smartTag w:uri="urn:schemas-microsoft-com:office:smarttags" w:element="metricconverter">
        <w:smartTagPr>
          <w:attr w:name="ProductID" w:val="0,6 м"/>
        </w:smartTagPr>
        <w:r>
          <w:rPr>
            <w:b w:val="0"/>
          </w:rPr>
          <w:t>0,6 м</w:t>
        </w:r>
      </w:smartTag>
      <w:r>
        <w:rPr>
          <w:b w:val="0"/>
        </w:rPr>
        <w:t>.</w:t>
      </w:r>
      <w:r w:rsidRPr="00303ABB">
        <w:rPr>
          <w:b w:val="0"/>
        </w:rPr>
        <w:t xml:space="preserve"> </w:t>
      </w:r>
      <w:r>
        <w:rPr>
          <w:b w:val="0"/>
        </w:rPr>
        <w:t xml:space="preserve">Ленточные фундаменты примыкающих участков должны иметь одинаковую глубину заложения на протяжении не менее </w:t>
      </w:r>
      <w:smartTag w:uri="urn:schemas-microsoft-com:office:smarttags" w:element="metricconverter">
        <w:smartTagPr>
          <w:attr w:name="ProductID" w:val="1 м"/>
        </w:smartTagPr>
        <w:r>
          <w:rPr>
            <w:b w:val="0"/>
          </w:rPr>
          <w:t>1 м</w:t>
        </w:r>
      </w:smartTag>
      <w:r>
        <w:rPr>
          <w:b w:val="0"/>
        </w:rPr>
        <w:t xml:space="preserve"> от шва.   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При назначении глубины заложения фундамента под колонны следует учесть, что сопряжение колонны с плитной частью фундамента </w:t>
      </w:r>
      <w:r>
        <w:rPr>
          <w:b w:val="0"/>
        </w:rPr>
        <w:lastRenderedPageBreak/>
        <w:t>осущест</w:t>
      </w:r>
      <w:r>
        <w:rPr>
          <w:b w:val="0"/>
        </w:rPr>
        <w:t>в</w:t>
      </w:r>
      <w:r>
        <w:rPr>
          <w:b w:val="0"/>
        </w:rPr>
        <w:t xml:space="preserve">ляется с помощью </w:t>
      </w:r>
      <w:proofErr w:type="spellStart"/>
      <w:r>
        <w:rPr>
          <w:b w:val="0"/>
        </w:rPr>
        <w:t>подколонника</w:t>
      </w:r>
      <w:proofErr w:type="spellEnd"/>
      <w:r>
        <w:rPr>
          <w:b w:val="0"/>
        </w:rPr>
        <w:t xml:space="preserve">. Отметка верха </w:t>
      </w:r>
      <w:proofErr w:type="spellStart"/>
      <w:r>
        <w:rPr>
          <w:b w:val="0"/>
        </w:rPr>
        <w:t>подколонника</w:t>
      </w:r>
      <w:proofErr w:type="spellEnd"/>
      <w:r>
        <w:rPr>
          <w:b w:val="0"/>
        </w:rPr>
        <w:t xml:space="preserve"> приним</w:t>
      </w:r>
      <w:r>
        <w:rPr>
          <w:b w:val="0"/>
        </w:rPr>
        <w:t>а</w:t>
      </w:r>
      <w:r>
        <w:rPr>
          <w:b w:val="0"/>
        </w:rPr>
        <w:t xml:space="preserve">ется на </w:t>
      </w:r>
      <w:smartTag w:uri="urn:schemas-microsoft-com:office:smarttags" w:element="metricconverter">
        <w:smartTagPr>
          <w:attr w:name="ProductID" w:val="150 мм"/>
        </w:smartTagPr>
        <w:r>
          <w:rPr>
            <w:b w:val="0"/>
          </w:rPr>
          <w:t>150 мм</w:t>
        </w:r>
      </w:smartTag>
      <w:r>
        <w:rPr>
          <w:b w:val="0"/>
        </w:rPr>
        <w:t xml:space="preserve"> ниже отметки планировки поверхности земли, поэтому гл</w:t>
      </w:r>
      <w:r>
        <w:rPr>
          <w:b w:val="0"/>
        </w:rPr>
        <w:t>у</w:t>
      </w:r>
      <w:r>
        <w:rPr>
          <w:b w:val="0"/>
        </w:rPr>
        <w:t xml:space="preserve">бина заложения подошвы фундамента под колонны должна быть на </w:t>
      </w:r>
      <w:smartTag w:uri="urn:schemas-microsoft-com:office:smarttags" w:element="metricconverter">
        <w:smartTagPr>
          <w:attr w:name="ProductID" w:val="150 мм"/>
        </w:smartTagPr>
        <w:r>
          <w:rPr>
            <w:b w:val="0"/>
          </w:rPr>
          <w:t>150 мм</w:t>
        </w:r>
      </w:smartTag>
      <w:r>
        <w:rPr>
          <w:b w:val="0"/>
        </w:rPr>
        <w:t xml:space="preserve"> больше суммарной высоты </w:t>
      </w:r>
      <w:proofErr w:type="spellStart"/>
      <w:r>
        <w:rPr>
          <w:b w:val="0"/>
        </w:rPr>
        <w:t>подколонника</w:t>
      </w:r>
      <w:proofErr w:type="spellEnd"/>
      <w:r>
        <w:rPr>
          <w:b w:val="0"/>
        </w:rPr>
        <w:t xml:space="preserve"> и плитной части фундамента.</w:t>
      </w:r>
    </w:p>
    <w:p w:rsidR="00B27D24" w:rsidRDefault="00B27D24" w:rsidP="00B27D24">
      <w:pPr>
        <w:spacing w:befor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3.2 Предварительное определение размеров </w:t>
      </w:r>
    </w:p>
    <w:p w:rsidR="00B27D24" w:rsidRDefault="00B27D24" w:rsidP="00B27D24">
      <w:pPr>
        <w:spacing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подошвы фундаме</w:t>
      </w:r>
      <w:r>
        <w:rPr>
          <w:rFonts w:ascii="Times New Roman" w:hAnsi="Times New Roman"/>
          <w:b/>
          <w:sz w:val="28"/>
        </w:rPr>
        <w:t>н</w:t>
      </w:r>
      <w:r>
        <w:rPr>
          <w:rFonts w:ascii="Times New Roman" w:hAnsi="Times New Roman"/>
          <w:b/>
          <w:sz w:val="28"/>
        </w:rPr>
        <w:t>тов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При выбранной глубине заложения подошвы фундамента ее площадь</w:t>
      </w:r>
      <w:proofErr w:type="gramStart"/>
      <w:r>
        <w:rPr>
          <w:b w:val="0"/>
        </w:rPr>
        <w:t xml:space="preserve"> </w:t>
      </w:r>
      <w:r>
        <w:rPr>
          <w:b w:val="0"/>
          <w:i/>
        </w:rPr>
        <w:t>А</w:t>
      </w:r>
      <w:proofErr w:type="gramEnd"/>
      <w:r>
        <w:rPr>
          <w:b w:val="0"/>
        </w:rPr>
        <w:t>, м</w:t>
      </w:r>
      <w:r>
        <w:rPr>
          <w:b w:val="0"/>
          <w:vertAlign w:val="superscript"/>
        </w:rPr>
        <w:t>2</w:t>
      </w:r>
      <w:r>
        <w:rPr>
          <w:b w:val="0"/>
        </w:rPr>
        <w:t>, можно предварительно определить по формуле:</w:t>
      </w:r>
    </w:p>
    <w:p w:rsidR="00B27D24" w:rsidRPr="00303ABB" w:rsidRDefault="00B27D24" w:rsidP="00B27D24">
      <w:pPr>
        <w:pStyle w:val="2"/>
        <w:spacing w:before="80" w:after="80" w:line="240" w:lineRule="auto"/>
        <w:jc w:val="right"/>
        <w:rPr>
          <w:b w:val="0"/>
          <w:lang w:val="en-US"/>
        </w:rPr>
      </w:pPr>
      <w:r>
        <w:rPr>
          <w:b w:val="0"/>
          <w:i/>
          <w:lang w:val="en-US"/>
        </w:rPr>
        <w:t xml:space="preserve">A = </w:t>
      </w:r>
      <w:proofErr w:type="gramStart"/>
      <w:r>
        <w:rPr>
          <w:b w:val="0"/>
          <w:i/>
          <w:lang w:val="en-US"/>
        </w:rPr>
        <w:t>N</w:t>
      </w:r>
      <w:r w:rsidRPr="00303ABB">
        <w:rPr>
          <w:b w:val="0"/>
          <w:i/>
          <w:vertAlign w:val="subscript"/>
          <w:lang w:val="en-US"/>
        </w:rPr>
        <w:t>0</w:t>
      </w:r>
      <w:r>
        <w:rPr>
          <w:b w:val="0"/>
          <w:i/>
          <w:vertAlign w:val="subscript"/>
          <w:lang w:val="en-US"/>
        </w:rPr>
        <w:t>II</w:t>
      </w:r>
      <w:r>
        <w:rPr>
          <w:b w:val="0"/>
          <w:vertAlign w:val="subscript"/>
          <w:lang w:val="en-US"/>
        </w:rPr>
        <w:t xml:space="preserve">  </w:t>
      </w:r>
      <w:r>
        <w:rPr>
          <w:b w:val="0"/>
          <w:i/>
          <w:lang w:val="en-US"/>
        </w:rPr>
        <w:t>m</w:t>
      </w:r>
      <w:proofErr w:type="gramEnd"/>
      <w:r>
        <w:rPr>
          <w:b w:val="0"/>
          <w:i/>
          <w:lang w:val="en-US"/>
        </w:rPr>
        <w:t xml:space="preserve"> / (R</w:t>
      </w:r>
      <w:r>
        <w:rPr>
          <w:b w:val="0"/>
          <w:i/>
          <w:vertAlign w:val="subscript"/>
          <w:lang w:val="en-US"/>
        </w:rPr>
        <w:t>0</w:t>
      </w:r>
      <w:r>
        <w:rPr>
          <w:b w:val="0"/>
          <w:i/>
          <w:lang w:val="en-US"/>
        </w:rPr>
        <w:t xml:space="preserve"> - β</w:t>
      </w:r>
      <w:proofErr w:type="spellStart"/>
      <w:r>
        <w:rPr>
          <w:b w:val="0"/>
          <w:i/>
          <w:lang w:val="en-US"/>
        </w:rPr>
        <w:t>γ</w:t>
      </w:r>
      <w:r>
        <w:rPr>
          <w:b w:val="0"/>
          <w:i/>
          <w:vertAlign w:val="subscript"/>
          <w:lang w:val="en-US"/>
        </w:rPr>
        <w:t>m</w:t>
      </w:r>
      <w:proofErr w:type="spellEnd"/>
      <w:r>
        <w:rPr>
          <w:b w:val="0"/>
          <w:i/>
          <w:lang w:val="en-US"/>
        </w:rPr>
        <w:t xml:space="preserve"> d)</w:t>
      </w:r>
      <w:r w:rsidRPr="00303ABB">
        <w:rPr>
          <w:b w:val="0"/>
          <w:lang w:val="en-US"/>
        </w:rPr>
        <w:t>,</w:t>
      </w:r>
      <w:r>
        <w:rPr>
          <w:b w:val="0"/>
          <w:lang w:val="en-US"/>
        </w:rPr>
        <w:t xml:space="preserve">   </w:t>
      </w:r>
      <w:r w:rsidRPr="00303ABB">
        <w:rPr>
          <w:b w:val="0"/>
          <w:lang w:val="en-US"/>
        </w:rPr>
        <w:t xml:space="preserve">                                          (12)</w:t>
      </w:r>
    </w:p>
    <w:p w:rsidR="00B27D24" w:rsidRDefault="00B27D24" w:rsidP="00B27D24">
      <w:pPr>
        <w:pStyle w:val="2"/>
        <w:spacing w:before="0" w:line="240" w:lineRule="auto"/>
        <w:jc w:val="both"/>
        <w:rPr>
          <w:b w:val="0"/>
        </w:rPr>
      </w:pPr>
      <w:r>
        <w:rPr>
          <w:b w:val="0"/>
        </w:rPr>
        <w:t xml:space="preserve">где  </w:t>
      </w:r>
      <w:r>
        <w:rPr>
          <w:b w:val="0"/>
          <w:i/>
        </w:rPr>
        <w:t>N</w:t>
      </w:r>
      <w:r>
        <w:rPr>
          <w:b w:val="0"/>
          <w:i/>
          <w:vertAlign w:val="subscript"/>
        </w:rPr>
        <w:t>0II</w:t>
      </w:r>
      <w:r>
        <w:rPr>
          <w:b w:val="0"/>
        </w:rPr>
        <w:t xml:space="preserve"> - расчетная нагрузка на погонный метр ленточного фундамента или на фундамент под колонну, кН;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R</w:t>
      </w:r>
      <w:r>
        <w:rPr>
          <w:b w:val="0"/>
          <w:i/>
          <w:vertAlign w:val="subscript"/>
        </w:rPr>
        <w:t>0</w:t>
      </w:r>
      <w:r>
        <w:rPr>
          <w:b w:val="0"/>
        </w:rPr>
        <w:t xml:space="preserve"> - расчетное сопротивление грунта несущего слоя, кН/м</w:t>
      </w:r>
      <w:proofErr w:type="gramStart"/>
      <w:r>
        <w:rPr>
          <w:b w:val="0"/>
          <w:vertAlign w:val="superscript"/>
        </w:rPr>
        <w:t>2</w:t>
      </w:r>
      <w:proofErr w:type="gramEnd"/>
      <w:r>
        <w:rPr>
          <w:b w:val="0"/>
        </w:rPr>
        <w:t>;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d</w:t>
      </w:r>
      <w:r>
        <w:rPr>
          <w:b w:val="0"/>
        </w:rPr>
        <w:t xml:space="preserve"> - глубина заложения подошвы фундамента, </w:t>
      </w:r>
      <w:proofErr w:type="gramStart"/>
      <w:r>
        <w:rPr>
          <w:b w:val="0"/>
        </w:rPr>
        <w:t>м</w:t>
      </w:r>
      <w:proofErr w:type="gramEnd"/>
      <w:r>
        <w:rPr>
          <w:b w:val="0"/>
        </w:rPr>
        <w:t>;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proofErr w:type="spellStart"/>
      <w:r>
        <w:rPr>
          <w:b w:val="0"/>
          <w:i/>
        </w:rPr>
        <w:t>γ</w:t>
      </w:r>
      <w:r>
        <w:rPr>
          <w:b w:val="0"/>
          <w:i/>
          <w:vertAlign w:val="subscript"/>
        </w:rPr>
        <w:t>m</w:t>
      </w:r>
      <w:proofErr w:type="spellEnd"/>
      <w:r>
        <w:rPr>
          <w:b w:val="0"/>
        </w:rPr>
        <w:t xml:space="preserve"> -  удельный вес материала фундамента (</w:t>
      </w:r>
      <w:proofErr w:type="spellStart"/>
      <w:r>
        <w:rPr>
          <w:b w:val="0"/>
          <w:i/>
        </w:rPr>
        <w:t>γ</w:t>
      </w:r>
      <w:r>
        <w:rPr>
          <w:b w:val="0"/>
          <w:i/>
          <w:vertAlign w:val="subscript"/>
        </w:rPr>
        <w:t>m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= </w:t>
      </w:r>
      <w:r>
        <w:rPr>
          <w:b w:val="0"/>
        </w:rPr>
        <w:t>24 кН/м</w:t>
      </w:r>
      <w:r>
        <w:rPr>
          <w:b w:val="0"/>
          <w:vertAlign w:val="superscript"/>
        </w:rPr>
        <w:t>3</w:t>
      </w:r>
      <w:r>
        <w:rPr>
          <w:b w:val="0"/>
        </w:rPr>
        <w:t>);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  <w:i/>
        </w:rPr>
        <w:t>β</w:t>
      </w:r>
      <w:r>
        <w:rPr>
          <w:b w:val="0"/>
        </w:rPr>
        <w:t xml:space="preserve"> - коэффициент, учитывающий меньший удельный вес грунта по сравнению с удельным весом материала фундамента;</w:t>
      </w:r>
    </w:p>
    <w:p w:rsidR="00B27D24" w:rsidRPr="0082104E" w:rsidRDefault="00B27D24" w:rsidP="00B27D24">
      <w:pPr>
        <w:pStyle w:val="2"/>
        <w:spacing w:before="0" w:line="240" w:lineRule="auto"/>
        <w:ind w:firstLine="567"/>
        <w:jc w:val="both"/>
        <w:rPr>
          <w:b w:val="0"/>
          <w:sz w:val="2"/>
          <w:szCs w:val="2"/>
        </w:rPr>
      </w:pPr>
      <w:r>
        <w:rPr>
          <w:b w:val="0"/>
        </w:rPr>
        <w:br w:type="page"/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9072"/>
      </w:tblGrid>
      <w:tr w:rsidR="00B27D24" w:rsidRPr="00B138E7" w:rsidTr="00630B0B">
        <w:tc>
          <w:tcPr>
            <w:tcW w:w="907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27D24" w:rsidRPr="00B138E7" w:rsidRDefault="00B27D24" w:rsidP="00630B0B">
            <w:pPr>
              <w:ind w:left="-10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5630545" cy="9092565"/>
                  <wp:effectExtent l="0" t="0" r="8255" b="0"/>
                  <wp:docPr id="1" name="Рисунок 1" descr="Рис 3-1, 3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Рис 3-1, 3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65" t="9312" r="33272" b="104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0545" cy="909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br w:type="page"/>
      </w:r>
      <w:r>
        <w:rPr>
          <w:b w:val="0"/>
          <w:i/>
          <w:lang w:val="en-US"/>
        </w:rPr>
        <w:lastRenderedPageBreak/>
        <w:t>m</w:t>
      </w:r>
      <w:r>
        <w:rPr>
          <w:b w:val="0"/>
        </w:rPr>
        <w:t xml:space="preserve"> - </w:t>
      </w:r>
      <w:proofErr w:type="gramStart"/>
      <w:r>
        <w:rPr>
          <w:b w:val="0"/>
        </w:rPr>
        <w:t>коэффициент</w:t>
      </w:r>
      <w:proofErr w:type="gramEnd"/>
      <w:r>
        <w:rPr>
          <w:b w:val="0"/>
        </w:rPr>
        <w:t>, учитывающий влияние момента внешних сил, принимаемый равным, для внецентренно загруженных фундаментов под к</w:t>
      </w:r>
      <w:r>
        <w:rPr>
          <w:b w:val="0"/>
        </w:rPr>
        <w:t>о</w:t>
      </w:r>
      <w:r>
        <w:rPr>
          <w:b w:val="0"/>
        </w:rPr>
        <w:t xml:space="preserve">лонны  </w:t>
      </w:r>
      <w:r>
        <w:rPr>
          <w:b w:val="0"/>
          <w:i/>
          <w:lang w:val="en-US"/>
        </w:rPr>
        <w:t>m</w:t>
      </w:r>
      <w:r>
        <w:rPr>
          <w:b w:val="0"/>
        </w:rPr>
        <w:t xml:space="preserve"> =1,1÷</w:t>
      </w:r>
      <w:r w:rsidRPr="002E69C6">
        <w:rPr>
          <w:b w:val="0"/>
        </w:rPr>
        <w:t>1</w:t>
      </w:r>
      <w:r>
        <w:rPr>
          <w:b w:val="0"/>
        </w:rPr>
        <w:t xml:space="preserve">,2, для ленточных фундаментов </w:t>
      </w:r>
      <w:r>
        <w:rPr>
          <w:b w:val="0"/>
          <w:i/>
          <w:lang w:val="en-US"/>
        </w:rPr>
        <w:t>m</w:t>
      </w:r>
      <w:r>
        <w:rPr>
          <w:b w:val="0"/>
        </w:rPr>
        <w:t xml:space="preserve"> =1.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В практических расчетах средневзвешенное значение удельного веса фундамента, грунта на его обрезах и прилегающей конструкции пола пр</w:t>
      </w:r>
      <w:r>
        <w:rPr>
          <w:b w:val="0"/>
        </w:rPr>
        <w:t>и</w:t>
      </w:r>
      <w:r>
        <w:rPr>
          <w:b w:val="0"/>
        </w:rPr>
        <w:t xml:space="preserve">нимают равным  </w:t>
      </w:r>
      <w:proofErr w:type="spellStart"/>
      <w:r>
        <w:rPr>
          <w:b w:val="0"/>
          <w:i/>
        </w:rPr>
        <w:t>γ</w:t>
      </w:r>
      <w:r>
        <w:rPr>
          <w:b w:val="0"/>
          <w:i/>
          <w:vertAlign w:val="subscript"/>
        </w:rPr>
        <w:t>mt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 xml:space="preserve">= β </w:t>
      </w:r>
      <w:proofErr w:type="spellStart"/>
      <w:r>
        <w:rPr>
          <w:b w:val="0"/>
          <w:i/>
        </w:rPr>
        <w:t>γ</w:t>
      </w:r>
      <w:r>
        <w:rPr>
          <w:b w:val="0"/>
          <w:i/>
          <w:vertAlign w:val="subscript"/>
        </w:rPr>
        <w:t>m</w:t>
      </w:r>
      <w:proofErr w:type="spellEnd"/>
      <w:r>
        <w:rPr>
          <w:b w:val="0"/>
          <w:i/>
          <w:vertAlign w:val="subscript"/>
        </w:rPr>
        <w:t xml:space="preserve"> </w:t>
      </w:r>
      <w:r>
        <w:rPr>
          <w:b w:val="0"/>
        </w:rPr>
        <w:t>= 20 кН/м</w:t>
      </w:r>
      <w:r>
        <w:rPr>
          <w:b w:val="0"/>
          <w:vertAlign w:val="superscript"/>
        </w:rPr>
        <w:t>3</w:t>
      </w:r>
      <w:r>
        <w:rPr>
          <w:b w:val="0"/>
        </w:rPr>
        <w:t>.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>Далее подбирают размеры подошвы фундамента. Для ленточных фу</w:t>
      </w:r>
      <w:r>
        <w:rPr>
          <w:b w:val="0"/>
        </w:rPr>
        <w:t>н</w:t>
      </w:r>
      <w:r>
        <w:rPr>
          <w:b w:val="0"/>
        </w:rPr>
        <w:t xml:space="preserve">даментов расчет ведется на </w:t>
      </w:r>
      <w:smartTag w:uri="urn:schemas-microsoft-com:office:smarttags" w:element="metricconverter">
        <w:smartTagPr>
          <w:attr w:name="ProductID" w:val="1 м"/>
        </w:smartTagPr>
        <w:r>
          <w:rPr>
            <w:b w:val="0"/>
          </w:rPr>
          <w:t>1 м</w:t>
        </w:r>
      </w:smartTag>
      <w:r>
        <w:rPr>
          <w:b w:val="0"/>
        </w:rPr>
        <w:t xml:space="preserve"> длины, следовательно, ширину подошвы фундамента - </w:t>
      </w:r>
      <w:r>
        <w:rPr>
          <w:b w:val="0"/>
          <w:i/>
        </w:rPr>
        <w:t xml:space="preserve">b </w:t>
      </w:r>
      <w:r>
        <w:rPr>
          <w:b w:val="0"/>
        </w:rPr>
        <w:t xml:space="preserve">находят по формуле  </w:t>
      </w:r>
    </w:p>
    <w:p w:rsidR="00B27D24" w:rsidRDefault="00B27D24" w:rsidP="00B27D24">
      <w:pPr>
        <w:pStyle w:val="2"/>
        <w:spacing w:before="40" w:after="80" w:line="240" w:lineRule="auto"/>
        <w:jc w:val="right"/>
        <w:rPr>
          <w:b w:val="0"/>
        </w:rPr>
      </w:pPr>
      <w:r>
        <w:rPr>
          <w:b w:val="0"/>
          <w:i/>
        </w:rPr>
        <w:t xml:space="preserve">b = A / </w:t>
      </w:r>
      <w:r>
        <w:rPr>
          <w:b w:val="0"/>
        </w:rPr>
        <w:t>1.                                                (13)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Для фундаментов, имеющих прямоугольную подошву (фундамент под колонну), предварительно задавшись соотношением сторон </w:t>
      </w:r>
      <w:r>
        <w:rPr>
          <w:b w:val="0"/>
          <w:i/>
        </w:rPr>
        <w:t xml:space="preserve">η </w:t>
      </w:r>
      <w:r>
        <w:rPr>
          <w:b w:val="0"/>
        </w:rPr>
        <w:t xml:space="preserve">= </w:t>
      </w:r>
      <w:r>
        <w:rPr>
          <w:b w:val="0"/>
          <w:i/>
        </w:rPr>
        <w:t>l/b</w:t>
      </w:r>
      <w:r>
        <w:rPr>
          <w:b w:val="0"/>
        </w:rPr>
        <w:t>, ширину подошвы опр</w:t>
      </w:r>
      <w:r>
        <w:rPr>
          <w:b w:val="0"/>
        </w:rPr>
        <w:t>е</w:t>
      </w:r>
      <w:r>
        <w:rPr>
          <w:b w:val="0"/>
        </w:rPr>
        <w:t>деляют по формуле</w:t>
      </w:r>
    </w:p>
    <w:p w:rsidR="00B27D24" w:rsidRDefault="00B27D24" w:rsidP="00B27D24">
      <w:pPr>
        <w:pStyle w:val="2"/>
        <w:spacing w:before="80" w:after="80" w:line="240" w:lineRule="auto"/>
        <w:jc w:val="right"/>
        <w:rPr>
          <w:b w:val="0"/>
        </w:rPr>
      </w:pPr>
      <w:r>
        <w:rPr>
          <w:b w:val="0"/>
          <w:i/>
          <w:lang w:val="en-US"/>
        </w:rPr>
        <w:t>b</w:t>
      </w:r>
      <w:r w:rsidRPr="00303ABB">
        <w:rPr>
          <w:b w:val="0"/>
          <w:i/>
        </w:rPr>
        <w:t xml:space="preserve"> </w:t>
      </w:r>
      <w:proofErr w:type="gramStart"/>
      <w:r w:rsidRPr="00303ABB">
        <w:rPr>
          <w:b w:val="0"/>
          <w:i/>
        </w:rPr>
        <w:t xml:space="preserve">= </w:t>
      </w:r>
      <w:proofErr w:type="gramEnd"/>
      <w:r>
        <w:rPr>
          <w:b w:val="0"/>
          <w:i/>
          <w:position w:val="-14"/>
          <w:lang w:val="en-US"/>
        </w:rPr>
        <w:object w:dxaOrig="780" w:dyaOrig="440">
          <v:shape id="_x0000_i1027" type="#_x0000_t75" style="width:38.85pt;height:21.85pt" o:ole="" fillcolor="window">
            <v:imagedata r:id="rId9" o:title=""/>
          </v:shape>
          <o:OLEObject Type="Embed" ProgID="Equation.3" ShapeID="_x0000_i1027" DrawAspect="Content" ObjectID="_1645945683" r:id="rId10"/>
        </w:object>
      </w:r>
      <w:r w:rsidRPr="00303ABB">
        <w:rPr>
          <w:b w:val="0"/>
        </w:rPr>
        <w:t xml:space="preserve">.     </w:t>
      </w:r>
      <w:r>
        <w:rPr>
          <w:b w:val="0"/>
        </w:rPr>
        <w:t xml:space="preserve">      </w:t>
      </w:r>
      <w:r w:rsidRPr="00303ABB">
        <w:rPr>
          <w:b w:val="0"/>
        </w:rPr>
        <w:t xml:space="preserve"> </w:t>
      </w:r>
      <w:r>
        <w:rPr>
          <w:b w:val="0"/>
        </w:rPr>
        <w:t xml:space="preserve">                                    (14)</w:t>
      </w:r>
    </w:p>
    <w:p w:rsidR="00B27D24" w:rsidRDefault="00B27D24" w:rsidP="00B27D24">
      <w:pPr>
        <w:pStyle w:val="2"/>
        <w:spacing w:before="0" w:line="240" w:lineRule="auto"/>
        <w:ind w:firstLine="567"/>
        <w:jc w:val="both"/>
        <w:rPr>
          <w:b w:val="0"/>
        </w:rPr>
      </w:pPr>
      <w:r>
        <w:rPr>
          <w:b w:val="0"/>
        </w:rPr>
        <w:t xml:space="preserve">В курсовой работе принимаем  </w:t>
      </w:r>
      <w:r>
        <w:rPr>
          <w:b w:val="0"/>
          <w:i/>
        </w:rPr>
        <w:t>η</w:t>
      </w:r>
      <w:r>
        <w:rPr>
          <w:b w:val="0"/>
          <w:i/>
          <w:vertAlign w:val="subscript"/>
        </w:rPr>
        <w:t xml:space="preserve"> </w:t>
      </w:r>
      <w:r>
        <w:rPr>
          <w:b w:val="0"/>
          <w:i/>
        </w:rPr>
        <w:t>=</w:t>
      </w:r>
      <w:r>
        <w:rPr>
          <w:b w:val="0"/>
          <w:vertAlign w:val="subscript"/>
        </w:rPr>
        <w:t xml:space="preserve"> </w:t>
      </w:r>
      <w:r>
        <w:rPr>
          <w:b w:val="0"/>
        </w:rPr>
        <w:t>1 - фундамент имеет квадратную подошву.</w:t>
      </w:r>
    </w:p>
    <w:p w:rsidR="00503591" w:rsidRDefault="00503591">
      <w:bookmarkStart w:id="0" w:name="_GoBack"/>
      <w:bookmarkEnd w:id="0"/>
    </w:p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D24"/>
    <w:rsid w:val="00503591"/>
    <w:rsid w:val="00B2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D24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27D24"/>
    <w:pPr>
      <w:keepNext/>
      <w:spacing w:line="288" w:lineRule="auto"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B27D24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7D24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27D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B27D24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0">
    <w:name w:val="Основной текст 2 Знак"/>
    <w:basedOn w:val="a0"/>
    <w:link w:val="2"/>
    <w:rsid w:val="00B27D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3">
    <w:name w:val="Table Grid"/>
    <w:basedOn w:val="a1"/>
    <w:rsid w:val="00B27D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7D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D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D24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27D24"/>
    <w:pPr>
      <w:keepNext/>
      <w:spacing w:line="288" w:lineRule="auto"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B27D24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7D24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27D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B27D24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0">
    <w:name w:val="Основной текст 2 Знак"/>
    <w:basedOn w:val="a0"/>
    <w:link w:val="2"/>
    <w:rsid w:val="00B27D2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3">
    <w:name w:val="Table Grid"/>
    <w:basedOn w:val="a1"/>
    <w:rsid w:val="00B27D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7D2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D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2020-03-17T07:18:00Z</dcterms:created>
  <dcterms:modified xsi:type="dcterms:W3CDTF">2020-03-17T07:22:00Z</dcterms:modified>
</cp:coreProperties>
</file>